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Default Extension="jpeg" ContentType="image/jpeg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rPr>
          <w:rFonts w:ascii="Times New Roman"/>
          <w:sz w:val="20"/>
        </w:rPr>
      </w:pPr>
      <w:r>
        <w:rPr/>
        <w:drawing>
          <wp:anchor distT="0" distB="0" distL="0" distR="0" allowOverlap="1" layoutInCell="1" locked="0" behindDoc="0" simplePos="0" relativeHeight="251658240">
            <wp:simplePos x="0" y="0"/>
            <wp:positionH relativeFrom="page">
              <wp:posOffset>636</wp:posOffset>
            </wp:positionH>
            <wp:positionV relativeFrom="page">
              <wp:posOffset>0</wp:posOffset>
            </wp:positionV>
            <wp:extent cx="7559927" cy="687704"/>
            <wp:effectExtent l="0" t="0" r="0" b="0"/>
            <wp:wrapNone/>
            <wp:docPr id="1" name="image1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pn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927" cy="68770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6"/>
        <w:rPr>
          <w:rFonts w:ascii="Times New Roman"/>
          <w:sz w:val="19"/>
        </w:rPr>
      </w:pPr>
    </w:p>
    <w:p>
      <w:pPr>
        <w:pStyle w:val="BodyText"/>
        <w:ind w:left="4161"/>
        <w:rPr>
          <w:rFonts w:ascii="Times New Roman"/>
          <w:sz w:val="20"/>
        </w:rPr>
      </w:pPr>
      <w:r>
        <w:rPr>
          <w:rFonts w:ascii="Times New Roman"/>
          <w:sz w:val="20"/>
        </w:rPr>
        <w:drawing>
          <wp:inline distT="0" distB="0" distL="0" distR="0">
            <wp:extent cx="2262203" cy="530351"/>
            <wp:effectExtent l="0" t="0" r="0" b="0"/>
            <wp:docPr id="3" name="image2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62203" cy="5303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</w: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rPr>
          <w:rFonts w:ascii="Times New Roman"/>
          <w:sz w:val="20"/>
        </w:rPr>
      </w:pPr>
    </w:p>
    <w:p>
      <w:pPr>
        <w:pStyle w:val="BodyText"/>
        <w:spacing w:before="10"/>
        <w:rPr>
          <w:rFonts w:ascii="Times New Roman"/>
          <w:sz w:val="29"/>
        </w:rPr>
      </w:pPr>
    </w:p>
    <w:p>
      <w:pPr>
        <w:spacing w:line="621" w:lineRule="exact" w:before="0"/>
        <w:ind w:left="1394" w:right="1597" w:firstLine="0"/>
        <w:jc w:val="center"/>
        <w:rPr>
          <w:sz w:val="51"/>
        </w:rPr>
      </w:pPr>
      <w:r>
        <w:rPr>
          <w:color w:val="939393"/>
          <w:sz w:val="51"/>
        </w:rPr>
        <w:t>PRESS RELEASE</w:t>
      </w:r>
    </w:p>
    <w:p>
      <w:pPr>
        <w:pStyle w:val="Heading1"/>
      </w:pPr>
      <w:r>
        <w:rPr>
          <w:color w:val="939393"/>
        </w:rPr>
        <w:t>Blockchain technologies will arrive to traditional SMEs across Europe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spacing w:before="225"/>
        <w:ind w:left="1394" w:right="1411" w:firstLine="0"/>
        <w:jc w:val="center"/>
        <w:rPr>
          <w:sz w:val="32"/>
        </w:rPr>
      </w:pPr>
      <w:r>
        <w:rPr>
          <w:color w:val="939393"/>
          <w:sz w:val="32"/>
        </w:rPr>
        <w:t>30</w:t>
      </w:r>
      <w:r>
        <w:rPr>
          <w:color w:val="939393"/>
          <w:position w:val="10"/>
          <w:sz w:val="21"/>
        </w:rPr>
        <w:t>th  </w:t>
      </w:r>
      <w:r>
        <w:rPr>
          <w:color w:val="939393"/>
          <w:sz w:val="32"/>
        </w:rPr>
        <w:t>of January 2019</w:t>
      </w: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rPr>
          <w:sz w:val="20"/>
        </w:rPr>
      </w:pPr>
    </w:p>
    <w:p>
      <w:pPr>
        <w:pStyle w:val="BodyText"/>
        <w:spacing w:before="9"/>
        <w:rPr>
          <w:sz w:val="20"/>
        </w:rPr>
      </w:pPr>
    </w:p>
    <w:p>
      <w:pPr>
        <w:spacing w:line="233" w:lineRule="exact" w:before="37"/>
        <w:ind w:left="716" w:right="0" w:firstLine="0"/>
        <w:jc w:val="left"/>
        <w:rPr>
          <w:sz w:val="16"/>
        </w:rPr>
      </w:pPr>
      <w:r>
        <w:rPr>
          <w:position w:val="-5"/>
        </w:rPr>
        <w:drawing>
          <wp:inline distT="0" distB="0" distL="0" distR="0">
            <wp:extent cx="228600" cy="152400"/>
            <wp:effectExtent l="0" t="0" r="0" b="0"/>
            <wp:docPr id="5" name="image3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600" cy="152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position w:val="-5"/>
        </w:rPr>
      </w:r>
      <w:r>
        <w:rPr>
          <w:rFonts w:ascii="Times New Roman" w:hAnsi="Times New Roman"/>
          <w:sz w:val="20"/>
        </w:rPr>
        <w:t>   </w:t>
      </w:r>
      <w:r>
        <w:rPr>
          <w:rFonts w:ascii="Times New Roman" w:hAnsi="Times New Roman"/>
          <w:spacing w:val="8"/>
          <w:sz w:val="20"/>
        </w:rPr>
        <w:t> </w:t>
      </w:r>
      <w:r>
        <w:rPr>
          <w:sz w:val="16"/>
        </w:rPr>
        <w:t>This project has received funding from the European Union’s H2020 research</w:t>
      </w:r>
      <w:r>
        <w:rPr>
          <w:spacing w:val="-10"/>
          <w:sz w:val="16"/>
        </w:rPr>
        <w:t> </w:t>
      </w:r>
      <w:r>
        <w:rPr>
          <w:sz w:val="16"/>
        </w:rPr>
        <w:t>and</w:t>
      </w:r>
    </w:p>
    <w:p>
      <w:pPr>
        <w:spacing w:line="188" w:lineRule="exact" w:before="0"/>
        <w:ind w:left="1284" w:right="0" w:firstLine="0"/>
        <w:jc w:val="left"/>
        <w:rPr>
          <w:sz w:val="16"/>
        </w:rPr>
      </w:pPr>
      <w:r>
        <w:rPr/>
        <w:drawing>
          <wp:anchor distT="0" distB="0" distL="0" distR="0" allowOverlap="1" layoutInCell="1" locked="0" behindDoc="0" simplePos="0" relativeHeight="251659264">
            <wp:simplePos x="0" y="0"/>
            <wp:positionH relativeFrom="page">
              <wp:posOffset>636</wp:posOffset>
            </wp:positionH>
            <wp:positionV relativeFrom="paragraph">
              <wp:posOffset>217749</wp:posOffset>
            </wp:positionV>
            <wp:extent cx="7559927" cy="784860"/>
            <wp:effectExtent l="0" t="0" r="0" b="0"/>
            <wp:wrapNone/>
            <wp:docPr id="7" name="image4.pn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8" name="image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559927" cy="784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z w:val="16"/>
        </w:rPr>
        <w:t>innovation programme under Grant Agreement no 828840</w:t>
      </w:r>
    </w:p>
    <w:p>
      <w:pPr>
        <w:spacing w:after="0" w:line="188" w:lineRule="exact"/>
        <w:jc w:val="left"/>
        <w:rPr>
          <w:sz w:val="16"/>
        </w:rPr>
        <w:sectPr>
          <w:type w:val="continuous"/>
          <w:pgSz w:w="11910" w:h="16840"/>
          <w:pgMar w:top="0" w:bottom="280" w:left="0" w:right="0"/>
        </w:sectPr>
      </w:pPr>
    </w:p>
    <w:p>
      <w:pPr>
        <w:pStyle w:val="BodyText"/>
        <w:rPr>
          <w:sz w:val="20"/>
        </w:rPr>
      </w:pPr>
    </w:p>
    <w:p>
      <w:pPr>
        <w:pStyle w:val="Heading1"/>
        <w:spacing w:before="194"/>
        <w:ind w:left="1606"/>
      </w:pPr>
      <w:r>
        <w:rPr>
          <w:color w:val="939393"/>
        </w:rPr>
        <w:t>Blockchain technologies will arrive to traditional SMEs across Europe</w:t>
      </w:r>
    </w:p>
    <w:p>
      <w:pPr>
        <w:spacing w:before="55"/>
        <w:ind w:left="1394" w:right="1393" w:firstLine="0"/>
        <w:jc w:val="center"/>
        <w:rPr>
          <w:b/>
          <w:i/>
          <w:sz w:val="24"/>
        </w:rPr>
      </w:pPr>
      <w:r>
        <w:rPr>
          <w:b/>
          <w:i/>
          <w:sz w:val="24"/>
        </w:rPr>
        <w:t>BLOCKCHERS </w:t>
      </w:r>
      <w:r>
        <w:rPr>
          <w:b/>
          <w:i/>
          <w:sz w:val="22"/>
        </w:rPr>
        <w:t>1st Open Call </w:t>
      </w:r>
      <w:r>
        <w:rPr>
          <w:b/>
          <w:i/>
          <w:sz w:val="24"/>
        </w:rPr>
        <w:t>for SMEs will open on the next 26</w:t>
      </w:r>
      <w:r>
        <w:rPr>
          <w:b/>
          <w:i/>
          <w:position w:val="8"/>
          <w:sz w:val="16"/>
        </w:rPr>
        <w:t>th </w:t>
      </w:r>
      <w:r>
        <w:rPr>
          <w:b/>
          <w:i/>
          <w:sz w:val="24"/>
        </w:rPr>
        <w:t>of March</w:t>
      </w:r>
    </w:p>
    <w:p>
      <w:pPr>
        <w:pStyle w:val="BodyText"/>
        <w:spacing w:before="10"/>
        <w:rPr>
          <w:b/>
          <w:i/>
          <w:sz w:val="31"/>
        </w:rPr>
      </w:pPr>
    </w:p>
    <w:p>
      <w:pPr>
        <w:pStyle w:val="BodyText"/>
        <w:ind w:left="1702" w:right="1696"/>
        <w:jc w:val="both"/>
      </w:pPr>
      <w:r>
        <w:rPr/>
        <w:t>BLOCKCHERS is a new Horizon 2020 project that will facilitate the revolution of Distributed Ledger Technologies, DLTs, (those based on the concept of distributed ledger to validate transactions in a network) across European SMEs.</w:t>
      </w:r>
    </w:p>
    <w:p>
      <w:pPr>
        <w:pStyle w:val="BodyText"/>
        <w:spacing w:before="9"/>
        <w:rPr>
          <w:sz w:val="33"/>
        </w:rPr>
      </w:pPr>
    </w:p>
    <w:p>
      <w:pPr>
        <w:pStyle w:val="BodyText"/>
        <w:ind w:left="1702" w:right="1847"/>
      </w:pPr>
      <w:r>
        <w:rPr/>
        <w:t>This accelerator for SMEs working with blockchain technologies will manage a fund of 750,000€ aimed at financing real world use cases of blockchain technologies in traditional sectors. The project has been launched this week in Brussels and </w:t>
      </w:r>
      <w:hyperlink r:id="rId11">
        <w:r>
          <w:rPr>
            <w:color w:val="0000FF"/>
            <w:u w:val="single" w:color="0000FF"/>
          </w:rPr>
          <w:t>ZABALA</w:t>
        </w:r>
      </w:hyperlink>
      <w:r>
        <w:rPr>
          <w:color w:val="0000FF"/>
        </w:rPr>
        <w:t> </w:t>
      </w:r>
      <w:hyperlink r:id="rId11">
        <w:r>
          <w:rPr>
            <w:color w:val="0000FF"/>
            <w:u w:val="single" w:color="0000FF"/>
          </w:rPr>
          <w:t>Innovation Consulting</w:t>
        </w:r>
        <w:r>
          <w:rPr>
            <w:color w:val="0000FF"/>
          </w:rPr>
          <w:t> </w:t>
        </w:r>
      </w:hyperlink>
      <w:r>
        <w:rPr/>
        <w:t>will coordinate the initiative.</w:t>
      </w:r>
    </w:p>
    <w:p>
      <w:pPr>
        <w:pStyle w:val="BodyText"/>
        <w:spacing w:before="8"/>
      </w:pPr>
    </w:p>
    <w:p>
      <w:pPr>
        <w:pStyle w:val="BodyText"/>
        <w:spacing w:before="52"/>
        <w:ind w:left="1702" w:right="1696"/>
        <w:jc w:val="both"/>
      </w:pPr>
      <w:r>
        <w:rPr/>
        <w:t>The DLTs have a limitless potential for use cases across all industries (industry, energy, financial services, health, agri-food, etc.). With many of the leading DLT start-ups in some of the main European cities, the EC has the potential to have a leading position in the innovation race to a DLT transition.</w:t>
      </w:r>
    </w:p>
    <w:p>
      <w:pPr>
        <w:pStyle w:val="BodyText"/>
        <w:spacing w:before="11"/>
        <w:rPr>
          <w:sz w:val="33"/>
        </w:rPr>
      </w:pPr>
    </w:p>
    <w:p>
      <w:pPr>
        <w:pStyle w:val="BodyText"/>
        <w:spacing w:before="1"/>
        <w:ind w:left="1702" w:right="1696"/>
        <w:jc w:val="both"/>
      </w:pPr>
      <w:r>
        <w:rPr/>
        <w:t>DLTs will definitely streamline business processes and offer a great potential for reducing costs and complexity of processes. This is the main driver supporting the rise of DLT applications. Currently there is a huge community of innovative SMEs with excellent ideas to contribute to the DLT uptake. However, the sectors in which DLTs make</w:t>
      </w:r>
      <w:r>
        <w:rPr>
          <w:spacing w:val="-4"/>
        </w:rPr>
        <w:t> </w:t>
      </w:r>
      <w:r>
        <w:rPr/>
        <w:t>sense,</w:t>
      </w:r>
      <w:r>
        <w:rPr>
          <w:spacing w:val="-6"/>
        </w:rPr>
        <w:t> </w:t>
      </w:r>
      <w:r>
        <w:rPr/>
        <w:t>besides</w:t>
      </w:r>
      <w:r>
        <w:rPr>
          <w:spacing w:val="-6"/>
        </w:rPr>
        <w:t> </w:t>
      </w:r>
      <w:r>
        <w:rPr/>
        <w:t>fintech,</w:t>
      </w:r>
      <w:r>
        <w:rPr>
          <w:spacing w:val="-5"/>
        </w:rPr>
        <w:t> </w:t>
      </w:r>
      <w:r>
        <w:rPr/>
        <w:t>could</w:t>
      </w:r>
      <w:r>
        <w:rPr>
          <w:spacing w:val="-5"/>
        </w:rPr>
        <w:t> </w:t>
      </w:r>
      <w:r>
        <w:rPr/>
        <w:t>be</w:t>
      </w:r>
      <w:r>
        <w:rPr>
          <w:spacing w:val="-6"/>
        </w:rPr>
        <w:t> </w:t>
      </w:r>
      <w:r>
        <w:rPr/>
        <w:t>those</w:t>
      </w:r>
      <w:r>
        <w:rPr>
          <w:spacing w:val="-4"/>
        </w:rPr>
        <w:t> </w:t>
      </w:r>
      <w:r>
        <w:rPr/>
        <w:t>in</w:t>
      </w:r>
      <w:r>
        <w:rPr>
          <w:spacing w:val="-5"/>
        </w:rPr>
        <w:t> </w:t>
      </w:r>
      <w:r>
        <w:rPr/>
        <w:t>which</w:t>
      </w:r>
      <w:r>
        <w:rPr>
          <w:spacing w:val="-4"/>
        </w:rPr>
        <w:t> </w:t>
      </w:r>
      <w:r>
        <w:rPr/>
        <w:t>existing</w:t>
      </w:r>
      <w:r>
        <w:rPr>
          <w:spacing w:val="-4"/>
        </w:rPr>
        <w:t> </w:t>
      </w:r>
      <w:r>
        <w:rPr/>
        <w:t>SMEs</w:t>
      </w:r>
      <w:r>
        <w:rPr>
          <w:spacing w:val="-6"/>
        </w:rPr>
        <w:t> </w:t>
      </w:r>
      <w:r>
        <w:rPr/>
        <w:t>do</w:t>
      </w:r>
      <w:r>
        <w:rPr>
          <w:spacing w:val="-7"/>
        </w:rPr>
        <w:t> </w:t>
      </w:r>
      <w:r>
        <w:rPr/>
        <w:t>not</w:t>
      </w:r>
      <w:r>
        <w:rPr>
          <w:spacing w:val="-3"/>
        </w:rPr>
        <w:t> </w:t>
      </w:r>
      <w:r>
        <w:rPr/>
        <w:t>have</w:t>
      </w:r>
      <w:r>
        <w:rPr>
          <w:spacing w:val="-6"/>
        </w:rPr>
        <w:t> </w:t>
      </w:r>
      <w:r>
        <w:rPr/>
        <w:t>enough knowledge</w:t>
      </w:r>
      <w:r>
        <w:rPr>
          <w:spacing w:val="-14"/>
        </w:rPr>
        <w:t> </w:t>
      </w:r>
      <w:r>
        <w:rPr/>
        <w:t>on</w:t>
      </w:r>
      <w:r>
        <w:rPr>
          <w:spacing w:val="-13"/>
        </w:rPr>
        <w:t> </w:t>
      </w:r>
      <w:r>
        <w:rPr/>
        <w:t>how</w:t>
      </w:r>
      <w:r>
        <w:rPr>
          <w:spacing w:val="-14"/>
        </w:rPr>
        <w:t> </w:t>
      </w:r>
      <w:r>
        <w:rPr/>
        <w:t>DLTs</w:t>
      </w:r>
      <w:r>
        <w:rPr>
          <w:spacing w:val="-14"/>
        </w:rPr>
        <w:t> </w:t>
      </w:r>
      <w:r>
        <w:rPr/>
        <w:t>work</w:t>
      </w:r>
      <w:r>
        <w:rPr>
          <w:spacing w:val="-13"/>
        </w:rPr>
        <w:t> </w:t>
      </w:r>
      <w:r>
        <w:rPr/>
        <w:t>nor</w:t>
      </w:r>
      <w:r>
        <w:rPr>
          <w:spacing w:val="-13"/>
        </w:rPr>
        <w:t> </w:t>
      </w:r>
      <w:r>
        <w:rPr/>
        <w:t>how</w:t>
      </w:r>
      <w:r>
        <w:rPr>
          <w:spacing w:val="-15"/>
        </w:rPr>
        <w:t> </w:t>
      </w:r>
      <w:r>
        <w:rPr/>
        <w:t>they</w:t>
      </w:r>
      <w:r>
        <w:rPr>
          <w:spacing w:val="-14"/>
        </w:rPr>
        <w:t> </w:t>
      </w:r>
      <w:r>
        <w:rPr/>
        <w:t>could</w:t>
      </w:r>
      <w:r>
        <w:rPr>
          <w:spacing w:val="-14"/>
        </w:rPr>
        <w:t> </w:t>
      </w:r>
      <w:r>
        <w:rPr/>
        <w:t>uptake</w:t>
      </w:r>
      <w:r>
        <w:rPr>
          <w:spacing w:val="-11"/>
        </w:rPr>
        <w:t> </w:t>
      </w:r>
      <w:r>
        <w:rPr/>
        <w:t>these</w:t>
      </w:r>
      <w:r>
        <w:rPr>
          <w:spacing w:val="-13"/>
        </w:rPr>
        <w:t> </w:t>
      </w:r>
      <w:r>
        <w:rPr/>
        <w:t>technologies</w:t>
      </w:r>
      <w:r>
        <w:rPr>
          <w:spacing w:val="-12"/>
        </w:rPr>
        <w:t> </w:t>
      </w:r>
      <w:r>
        <w:rPr/>
        <w:t>(traditional SMEs).</w:t>
      </w:r>
    </w:p>
    <w:p>
      <w:pPr>
        <w:pStyle w:val="BodyText"/>
        <w:spacing w:before="9"/>
        <w:rPr>
          <w:sz w:val="33"/>
        </w:rPr>
      </w:pPr>
    </w:p>
    <w:p>
      <w:pPr>
        <w:pStyle w:val="BodyText"/>
        <w:ind w:left="1702" w:right="1697"/>
        <w:jc w:val="both"/>
      </w:pPr>
      <w:r>
        <w:rPr/>
        <w:t>In addition, a regulatory framework should foster the uptake and prevent from fraudulent actions such as i.e. those linked to the anonymity of users in transactions. Furthermore,</w:t>
      </w:r>
      <w:r>
        <w:rPr>
          <w:spacing w:val="-12"/>
        </w:rPr>
        <w:t> </w:t>
      </w:r>
      <w:r>
        <w:rPr/>
        <w:t>Blockchain</w:t>
      </w:r>
      <w:r>
        <w:rPr>
          <w:spacing w:val="-10"/>
        </w:rPr>
        <w:t> </w:t>
      </w:r>
      <w:r>
        <w:rPr/>
        <w:t>SMEs</w:t>
      </w:r>
      <w:r>
        <w:rPr>
          <w:spacing w:val="-12"/>
        </w:rPr>
        <w:t> </w:t>
      </w:r>
      <w:r>
        <w:rPr/>
        <w:t>face</w:t>
      </w:r>
      <w:r>
        <w:rPr>
          <w:spacing w:val="-11"/>
        </w:rPr>
        <w:t> </w:t>
      </w:r>
      <w:r>
        <w:rPr/>
        <w:t>uncertain</w:t>
      </w:r>
      <w:r>
        <w:rPr>
          <w:spacing w:val="-11"/>
        </w:rPr>
        <w:t> </w:t>
      </w:r>
      <w:r>
        <w:rPr/>
        <w:t>regulation</w:t>
      </w:r>
      <w:r>
        <w:rPr>
          <w:spacing w:val="-12"/>
        </w:rPr>
        <w:t> </w:t>
      </w:r>
      <w:r>
        <w:rPr/>
        <w:t>that</w:t>
      </w:r>
      <w:r>
        <w:rPr>
          <w:spacing w:val="-10"/>
        </w:rPr>
        <w:t> </w:t>
      </w:r>
      <w:r>
        <w:rPr/>
        <w:t>limits</w:t>
      </w:r>
      <w:r>
        <w:rPr>
          <w:spacing w:val="-12"/>
        </w:rPr>
        <w:t> </w:t>
      </w:r>
      <w:r>
        <w:rPr/>
        <w:t>their</w:t>
      </w:r>
      <w:r>
        <w:rPr>
          <w:spacing w:val="-10"/>
        </w:rPr>
        <w:t> </w:t>
      </w:r>
      <w:r>
        <w:rPr/>
        <w:t>scope</w:t>
      </w:r>
      <w:r>
        <w:rPr>
          <w:spacing w:val="-12"/>
        </w:rPr>
        <w:t> </w:t>
      </w:r>
      <w:r>
        <w:rPr/>
        <w:t>of</w:t>
      </w:r>
      <w:r>
        <w:rPr>
          <w:spacing w:val="-9"/>
        </w:rPr>
        <w:t> </w:t>
      </w:r>
      <w:r>
        <w:rPr/>
        <w:t>action and imply a risk for their</w:t>
      </w:r>
      <w:r>
        <w:rPr>
          <w:spacing w:val="-6"/>
        </w:rPr>
        <w:t> </w:t>
      </w:r>
      <w:r>
        <w:rPr/>
        <w:t>growth.</w:t>
      </w:r>
    </w:p>
    <w:p>
      <w:pPr>
        <w:pStyle w:val="BodyText"/>
        <w:spacing w:before="11"/>
        <w:rPr>
          <w:sz w:val="33"/>
        </w:rPr>
      </w:pPr>
    </w:p>
    <w:p>
      <w:pPr>
        <w:pStyle w:val="BodyText"/>
        <w:spacing w:before="1"/>
        <w:ind w:left="1702" w:right="1695"/>
        <w:jc w:val="both"/>
      </w:pPr>
      <w:r>
        <w:rPr/>
        <w:t>To address these challenges a consortium of four organisations with relevant profiles has been built. ZABALA Innovation Consulting, as coordinator and expert on “cascade – funding” management with project as the Finodex FIWARE accelerator, </w:t>
      </w:r>
      <w:hyperlink r:id="rId12">
        <w:r>
          <w:rPr>
            <w:color w:val="0000FF"/>
            <w:u w:val="single" w:color="0000FF"/>
          </w:rPr>
          <w:t>the European</w:t>
        </w:r>
      </w:hyperlink>
      <w:r>
        <w:rPr>
          <w:color w:val="0000FF"/>
        </w:rPr>
        <w:t> </w:t>
      </w:r>
      <w:hyperlink r:id="rId12">
        <w:r>
          <w:rPr>
            <w:color w:val="0000FF"/>
            <w:u w:val="single" w:color="0000FF"/>
          </w:rPr>
          <w:t>Data</w:t>
        </w:r>
        <w:r>
          <w:rPr>
            <w:color w:val="0000FF"/>
            <w:spacing w:val="-7"/>
            <w:u w:val="single" w:color="0000FF"/>
          </w:rPr>
          <w:t> </w:t>
        </w:r>
        <w:r>
          <w:rPr>
            <w:color w:val="0000FF"/>
            <w:u w:val="single" w:color="0000FF"/>
          </w:rPr>
          <w:t>Incubator</w:t>
        </w:r>
      </w:hyperlink>
      <w:r>
        <w:rPr/>
        <w:t>,</w:t>
      </w:r>
      <w:r>
        <w:rPr>
          <w:spacing w:val="-7"/>
        </w:rPr>
        <w:t> </w:t>
      </w:r>
      <w:hyperlink r:id="rId13">
        <w:r>
          <w:rPr>
            <w:color w:val="0000FF"/>
            <w:u w:val="single" w:color="0000FF"/>
          </w:rPr>
          <w:t>IRSUS</w:t>
        </w:r>
      </w:hyperlink>
      <w:r>
        <w:rPr/>
        <w:t>,</w:t>
      </w:r>
      <w:r>
        <w:rPr>
          <w:spacing w:val="-5"/>
        </w:rPr>
        <w:t> </w:t>
      </w:r>
      <w:r>
        <w:rPr/>
        <w:t>or</w:t>
      </w:r>
      <w:r>
        <w:rPr>
          <w:spacing w:val="-6"/>
        </w:rPr>
        <w:t> </w:t>
      </w:r>
      <w:r>
        <w:rPr/>
        <w:t>NGI</w:t>
      </w:r>
      <w:r>
        <w:rPr>
          <w:spacing w:val="-8"/>
        </w:rPr>
        <w:t> </w:t>
      </w:r>
      <w:r>
        <w:rPr/>
        <w:t>Fellowship</w:t>
      </w:r>
      <w:r>
        <w:rPr>
          <w:spacing w:val="-5"/>
        </w:rPr>
        <w:t> </w:t>
      </w:r>
      <w:r>
        <w:rPr/>
        <w:t>and</w:t>
      </w:r>
      <w:r>
        <w:rPr>
          <w:spacing w:val="-6"/>
        </w:rPr>
        <w:t> </w:t>
      </w:r>
      <w:r>
        <w:rPr/>
        <w:t>innovation</w:t>
      </w:r>
      <w:r>
        <w:rPr>
          <w:spacing w:val="-6"/>
        </w:rPr>
        <w:t> </w:t>
      </w:r>
      <w:r>
        <w:rPr/>
        <w:t>services</w:t>
      </w:r>
      <w:r>
        <w:rPr>
          <w:spacing w:val="-7"/>
        </w:rPr>
        <w:t> </w:t>
      </w:r>
      <w:r>
        <w:rPr/>
        <w:t>provision</w:t>
      </w:r>
      <w:r>
        <w:rPr>
          <w:spacing w:val="-9"/>
        </w:rPr>
        <w:t> </w:t>
      </w:r>
      <w:r>
        <w:rPr/>
        <w:t>to</w:t>
      </w:r>
      <w:r>
        <w:rPr>
          <w:spacing w:val="-7"/>
        </w:rPr>
        <w:t> </w:t>
      </w:r>
      <w:r>
        <w:rPr/>
        <w:t>SMEs</w:t>
      </w:r>
      <w:r>
        <w:rPr>
          <w:spacing w:val="-7"/>
        </w:rPr>
        <w:t> </w:t>
      </w:r>
      <w:r>
        <w:rPr/>
        <w:t>and start-ups EU-wide. </w:t>
      </w:r>
      <w:hyperlink r:id="rId14">
        <w:r>
          <w:rPr>
            <w:color w:val="0000FF"/>
            <w:u w:val="single" w:color="0000FF"/>
          </w:rPr>
          <w:t>Innomine</w:t>
        </w:r>
      </w:hyperlink>
      <w:r>
        <w:rPr/>
        <w:t>, as expert company working on acceleration and piloting/use cases in the CEE market for the Digital Innovation</w:t>
      </w:r>
      <w:r>
        <w:rPr>
          <w:spacing w:val="-12"/>
        </w:rPr>
        <w:t> </w:t>
      </w:r>
      <w:r>
        <w:rPr/>
        <w:t>Hubs.</w:t>
      </w:r>
    </w:p>
    <w:p>
      <w:pPr>
        <w:spacing w:after="0"/>
        <w:jc w:val="both"/>
        <w:sectPr>
          <w:headerReference w:type="default" r:id="rId9"/>
          <w:footerReference w:type="default" r:id="rId10"/>
          <w:pgSz w:w="11910" w:h="16840"/>
          <w:pgMar w:header="897" w:footer="2099" w:top="1480" w:bottom="2280" w:left="0" w:right="0"/>
          <w:pgNumType w:start="1"/>
        </w:sectPr>
      </w:pPr>
    </w:p>
    <w:p>
      <w:pPr>
        <w:pStyle w:val="BodyText"/>
        <w:spacing w:before="5"/>
        <w:rPr>
          <w:sz w:val="19"/>
        </w:rPr>
      </w:pPr>
    </w:p>
    <w:p>
      <w:pPr>
        <w:pStyle w:val="BodyText"/>
        <w:spacing w:before="51"/>
        <w:ind w:left="1702" w:right="1696"/>
        <w:jc w:val="both"/>
      </w:pPr>
      <w:hyperlink r:id="rId15">
        <w:r>
          <w:rPr>
            <w:color w:val="0000FF"/>
            <w:u w:val="single" w:color="0000FF"/>
          </w:rPr>
          <w:t>Frankfurt School Blockchain Center (FSBC)</w:t>
        </w:r>
      </w:hyperlink>
      <w:r>
        <w:rPr>
          <w:color w:val="0000FF"/>
        </w:rPr>
        <w:t> </w:t>
      </w:r>
      <w:r>
        <w:rPr/>
        <w:t>as one of the most recognized institutions providing training on DLTs as well as organizing major events on blockchain technologies. </w:t>
      </w:r>
      <w:hyperlink r:id="rId16">
        <w:r>
          <w:rPr>
            <w:color w:val="0000FF"/>
            <w:u w:val="single" w:color="0000FF"/>
          </w:rPr>
          <w:t>ALASTRIA</w:t>
        </w:r>
      </w:hyperlink>
      <w:r>
        <w:rPr/>
        <w:t>, as the first public-permissioned blockchain network in Spain promoted by major corporations in a range of sectors to undertake open innovation activities with SMEs and developers.</w:t>
      </w:r>
    </w:p>
    <w:p>
      <w:pPr>
        <w:pStyle w:val="BodyText"/>
        <w:spacing w:before="12"/>
        <w:rPr>
          <w:sz w:val="33"/>
        </w:rPr>
      </w:pPr>
    </w:p>
    <w:p>
      <w:pPr>
        <w:pStyle w:val="BodyText"/>
        <w:ind w:left="1702" w:right="1693"/>
        <w:jc w:val="both"/>
      </w:pPr>
      <w:r>
        <w:rPr/>
        <w:t>Moreover, the project will be supported by an outstanding group of external advisors thanks</w:t>
      </w:r>
      <w:r>
        <w:rPr>
          <w:spacing w:val="-8"/>
        </w:rPr>
        <w:t> </w:t>
      </w:r>
      <w:r>
        <w:rPr/>
        <w:t>to</w:t>
      </w:r>
      <w:r>
        <w:rPr>
          <w:spacing w:val="-12"/>
        </w:rPr>
        <w:t> </w:t>
      </w:r>
      <w:r>
        <w:rPr/>
        <w:t>the</w:t>
      </w:r>
      <w:r>
        <w:rPr>
          <w:spacing w:val="-8"/>
        </w:rPr>
        <w:t> </w:t>
      </w:r>
      <w:r>
        <w:rPr/>
        <w:t>creation</w:t>
      </w:r>
      <w:r>
        <w:rPr>
          <w:spacing w:val="-8"/>
        </w:rPr>
        <w:t> </w:t>
      </w:r>
      <w:r>
        <w:rPr/>
        <w:t>of</w:t>
      </w:r>
      <w:r>
        <w:rPr>
          <w:spacing w:val="-10"/>
        </w:rPr>
        <w:t> </w:t>
      </w:r>
      <w:r>
        <w:rPr/>
        <w:t>an</w:t>
      </w:r>
      <w:r>
        <w:rPr>
          <w:spacing w:val="-6"/>
        </w:rPr>
        <w:t> </w:t>
      </w:r>
      <w:r>
        <w:rPr/>
        <w:t>External</w:t>
      </w:r>
      <w:r>
        <w:rPr>
          <w:spacing w:val="-7"/>
        </w:rPr>
        <w:t> </w:t>
      </w:r>
      <w:r>
        <w:rPr/>
        <w:t>Advisory</w:t>
      </w:r>
      <w:r>
        <w:rPr>
          <w:spacing w:val="-7"/>
        </w:rPr>
        <w:t> </w:t>
      </w:r>
      <w:r>
        <w:rPr/>
        <w:t>Board</w:t>
      </w:r>
      <w:r>
        <w:rPr>
          <w:spacing w:val="-6"/>
        </w:rPr>
        <w:t> </w:t>
      </w:r>
      <w:r>
        <w:rPr/>
        <w:t>comprising</w:t>
      </w:r>
      <w:r>
        <w:rPr>
          <w:spacing w:val="-6"/>
        </w:rPr>
        <w:t> </w:t>
      </w:r>
      <w:r>
        <w:rPr/>
        <w:t>six</w:t>
      </w:r>
      <w:r>
        <w:rPr>
          <w:spacing w:val="-10"/>
        </w:rPr>
        <w:t> </w:t>
      </w:r>
      <w:r>
        <w:rPr/>
        <w:t>profiles</w:t>
      </w:r>
      <w:r>
        <w:rPr>
          <w:spacing w:val="-9"/>
        </w:rPr>
        <w:t> </w:t>
      </w:r>
      <w:r>
        <w:rPr/>
        <w:t>of</w:t>
      </w:r>
      <w:r>
        <w:rPr>
          <w:spacing w:val="-7"/>
        </w:rPr>
        <w:t> </w:t>
      </w:r>
      <w:r>
        <w:rPr/>
        <w:t>experts</w:t>
      </w:r>
      <w:r>
        <w:rPr>
          <w:spacing w:val="-10"/>
        </w:rPr>
        <w:t> </w:t>
      </w:r>
      <w:r>
        <w:rPr/>
        <w:t>in blockchain from the technological, legal, business and investors point of</w:t>
      </w:r>
      <w:r>
        <w:rPr>
          <w:spacing w:val="-13"/>
        </w:rPr>
        <w:t> </w:t>
      </w:r>
      <w:r>
        <w:rPr/>
        <w:t>view.</w:t>
      </w:r>
    </w:p>
    <w:p>
      <w:pPr>
        <w:pStyle w:val="BodyText"/>
        <w:spacing w:before="9"/>
        <w:rPr>
          <w:sz w:val="33"/>
        </w:rPr>
      </w:pPr>
    </w:p>
    <w:p>
      <w:pPr>
        <w:pStyle w:val="Heading2"/>
      </w:pPr>
      <w:r>
        <w:rPr/>
        <w:t>How does BLOCKHERKS work?</w:t>
      </w:r>
    </w:p>
    <w:p>
      <w:pPr>
        <w:pStyle w:val="BodyText"/>
        <w:spacing w:before="1"/>
        <w:rPr>
          <w:b/>
          <w:sz w:val="34"/>
        </w:rPr>
      </w:pPr>
    </w:p>
    <w:p>
      <w:pPr>
        <w:spacing w:line="237" w:lineRule="auto" w:before="0"/>
        <w:ind w:left="1702" w:right="1693" w:firstLine="0"/>
        <w:jc w:val="both"/>
        <w:rPr>
          <w:b/>
          <w:sz w:val="24"/>
        </w:rPr>
      </w:pPr>
      <w:r>
        <w:rPr>
          <w:sz w:val="24"/>
        </w:rPr>
        <w:t>The project will mainly work in a two-phase funding scheme and supporting the SMEs selected in two open calls. </w:t>
      </w:r>
      <w:r>
        <w:rPr>
          <w:b/>
          <w:sz w:val="24"/>
        </w:rPr>
        <w:t>The </w:t>
      </w:r>
      <w:r>
        <w:rPr>
          <w:b/>
          <w:sz w:val="22"/>
        </w:rPr>
        <w:t>1st Open Call </w:t>
      </w:r>
      <w:r>
        <w:rPr>
          <w:b/>
          <w:sz w:val="24"/>
        </w:rPr>
        <w:t>of BLOCKCHERS will be launched on the next 26</w:t>
      </w:r>
      <w:r>
        <w:rPr>
          <w:b/>
          <w:position w:val="8"/>
          <w:sz w:val="16"/>
        </w:rPr>
        <w:t>th </w:t>
      </w:r>
      <w:r>
        <w:rPr>
          <w:b/>
          <w:sz w:val="24"/>
        </w:rPr>
        <w:t>of March.</w:t>
      </w:r>
    </w:p>
    <w:p>
      <w:pPr>
        <w:pStyle w:val="BodyText"/>
        <w:spacing w:before="2"/>
        <w:rPr>
          <w:b/>
          <w:sz w:val="34"/>
        </w:rPr>
      </w:pPr>
    </w:p>
    <w:p>
      <w:pPr>
        <w:pStyle w:val="BodyText"/>
        <w:ind w:left="1702" w:right="1696"/>
        <w:jc w:val="both"/>
      </w:pPr>
      <w:r>
        <w:rPr/>
        <w:t>One of the main goals of BLOCKCHERS will be fostering the matchmaking among traditional SMEs and potential DLT specialists, as technology providers, and sensitize about</w:t>
      </w:r>
      <w:r>
        <w:rPr>
          <w:spacing w:val="-7"/>
        </w:rPr>
        <w:t> </w:t>
      </w:r>
      <w:r>
        <w:rPr/>
        <w:t>the</w:t>
      </w:r>
      <w:r>
        <w:rPr>
          <w:spacing w:val="-7"/>
        </w:rPr>
        <w:t> </w:t>
      </w:r>
      <w:r>
        <w:rPr/>
        <w:t>benefits</w:t>
      </w:r>
      <w:r>
        <w:rPr>
          <w:spacing w:val="-5"/>
        </w:rPr>
        <w:t> </w:t>
      </w:r>
      <w:r>
        <w:rPr/>
        <w:t>and</w:t>
      </w:r>
      <w:r>
        <w:rPr>
          <w:spacing w:val="-6"/>
        </w:rPr>
        <w:t> </w:t>
      </w:r>
      <w:r>
        <w:rPr/>
        <w:t>opportunities</w:t>
      </w:r>
      <w:r>
        <w:rPr>
          <w:spacing w:val="-4"/>
        </w:rPr>
        <w:t> </w:t>
      </w:r>
      <w:r>
        <w:rPr/>
        <w:t>around</w:t>
      </w:r>
      <w:r>
        <w:rPr>
          <w:spacing w:val="-4"/>
        </w:rPr>
        <w:t> </w:t>
      </w:r>
      <w:r>
        <w:rPr/>
        <w:t>DLTs</w:t>
      </w:r>
      <w:r>
        <w:rPr>
          <w:spacing w:val="-5"/>
        </w:rPr>
        <w:t> </w:t>
      </w:r>
      <w:r>
        <w:rPr/>
        <w:t>to</w:t>
      </w:r>
      <w:r>
        <w:rPr>
          <w:spacing w:val="-4"/>
        </w:rPr>
        <w:t> </w:t>
      </w:r>
      <w:r>
        <w:rPr/>
        <w:t>implement</w:t>
      </w:r>
      <w:r>
        <w:rPr>
          <w:spacing w:val="-6"/>
        </w:rPr>
        <w:t> </w:t>
      </w:r>
      <w:r>
        <w:rPr/>
        <w:t>real</w:t>
      </w:r>
      <w:r>
        <w:rPr>
          <w:spacing w:val="-7"/>
        </w:rPr>
        <w:t> </w:t>
      </w:r>
      <w:r>
        <w:rPr/>
        <w:t>use</w:t>
      </w:r>
      <w:r>
        <w:rPr>
          <w:spacing w:val="-5"/>
        </w:rPr>
        <w:t> </w:t>
      </w:r>
      <w:r>
        <w:rPr/>
        <w:t>case</w:t>
      </w:r>
      <w:r>
        <w:rPr>
          <w:spacing w:val="-4"/>
        </w:rPr>
        <w:t> </w:t>
      </w:r>
      <w:r>
        <w:rPr/>
        <w:t>scenarios in a variety of verticals. </w:t>
      </w:r>
      <w:r>
        <w:rPr>
          <w:b/>
        </w:rPr>
        <w:t>At least 60 SMEs </w:t>
      </w:r>
      <w:r>
        <w:rPr/>
        <w:t>will benefit thanks to this</w:t>
      </w:r>
      <w:r>
        <w:rPr>
          <w:spacing w:val="-12"/>
        </w:rPr>
        <w:t> </w:t>
      </w:r>
      <w:r>
        <w:rPr/>
        <w:t>scheme.</w:t>
      </w:r>
    </w:p>
    <w:p>
      <w:pPr>
        <w:pStyle w:val="BodyText"/>
        <w:spacing w:before="9"/>
        <w:rPr>
          <w:sz w:val="33"/>
        </w:rPr>
      </w:pPr>
    </w:p>
    <w:p>
      <w:pPr>
        <w:pStyle w:val="BodyText"/>
        <w:ind w:left="1702" w:right="1700"/>
        <w:jc w:val="both"/>
      </w:pPr>
      <w:r>
        <w:rPr/>
        <w:t>The best group </w:t>
      </w:r>
      <w:r>
        <w:rPr>
          <w:b/>
        </w:rPr>
        <w:t>(up to 30) </w:t>
      </w:r>
      <w:r>
        <w:rPr/>
        <w:t>of SMEs (blockchers) working with DLTs on use cases with traditional SMEs will be selected through a couple of competitive open calls for proposals.</w:t>
      </w:r>
    </w:p>
    <w:p>
      <w:pPr>
        <w:pStyle w:val="BodyText"/>
        <w:spacing w:before="10"/>
        <w:rPr>
          <w:sz w:val="33"/>
        </w:rPr>
      </w:pPr>
    </w:p>
    <w:p>
      <w:pPr>
        <w:pStyle w:val="BodyText"/>
        <w:ind w:left="1702" w:right="1694"/>
        <w:jc w:val="both"/>
      </w:pPr>
      <w:r>
        <w:rPr/>
        <w:t>Selected</w:t>
      </w:r>
      <w:r>
        <w:rPr>
          <w:spacing w:val="-8"/>
        </w:rPr>
        <w:t> </w:t>
      </w:r>
      <w:r>
        <w:rPr/>
        <w:t>blockchers</w:t>
      </w:r>
      <w:r>
        <w:rPr>
          <w:spacing w:val="-7"/>
        </w:rPr>
        <w:t> </w:t>
      </w:r>
      <w:r>
        <w:rPr/>
        <w:t>will</w:t>
      </w:r>
      <w:r>
        <w:rPr>
          <w:spacing w:val="-6"/>
        </w:rPr>
        <w:t> </w:t>
      </w:r>
      <w:r>
        <w:rPr/>
        <w:t>go</w:t>
      </w:r>
      <w:r>
        <w:rPr>
          <w:spacing w:val="-4"/>
        </w:rPr>
        <w:t> </w:t>
      </w:r>
      <w:r>
        <w:rPr/>
        <w:t>from</w:t>
      </w:r>
      <w:r>
        <w:rPr>
          <w:spacing w:val="-7"/>
        </w:rPr>
        <w:t> </w:t>
      </w:r>
      <w:r>
        <w:rPr/>
        <w:t>idea</w:t>
      </w:r>
      <w:r>
        <w:rPr>
          <w:spacing w:val="-6"/>
        </w:rPr>
        <w:t> </w:t>
      </w:r>
      <w:r>
        <w:rPr/>
        <w:t>to</w:t>
      </w:r>
      <w:r>
        <w:rPr>
          <w:spacing w:val="-7"/>
        </w:rPr>
        <w:t> </w:t>
      </w:r>
      <w:r>
        <w:rPr/>
        <w:t>implementation</w:t>
      </w:r>
      <w:r>
        <w:rPr>
          <w:spacing w:val="-3"/>
        </w:rPr>
        <w:t> </w:t>
      </w:r>
      <w:r>
        <w:rPr/>
        <w:t>(proposal,</w:t>
      </w:r>
      <w:r>
        <w:rPr>
          <w:spacing w:val="-9"/>
        </w:rPr>
        <w:t> </w:t>
      </w:r>
      <w:r>
        <w:rPr/>
        <w:t>pitch</w:t>
      </w:r>
      <w:r>
        <w:rPr>
          <w:spacing w:val="-6"/>
        </w:rPr>
        <w:t> </w:t>
      </w:r>
      <w:r>
        <w:rPr/>
        <w:t>and</w:t>
      </w:r>
      <w:r>
        <w:rPr>
          <w:spacing w:val="-5"/>
        </w:rPr>
        <w:t> </w:t>
      </w:r>
      <w:r>
        <w:rPr/>
        <w:t>use</w:t>
      </w:r>
      <w:r>
        <w:rPr>
          <w:spacing w:val="-7"/>
        </w:rPr>
        <w:t> </w:t>
      </w:r>
      <w:r>
        <w:rPr/>
        <w:t>cases) through a two-phase funding scheme and providing supporting services. A SME could obtain up to </w:t>
      </w:r>
      <w:r>
        <w:rPr>
          <w:b/>
        </w:rPr>
        <w:t>€50,000 equity-free funding </w:t>
      </w:r>
      <w:r>
        <w:rPr/>
        <w:t>plus a range of free</w:t>
      </w:r>
      <w:r>
        <w:rPr>
          <w:spacing w:val="-11"/>
        </w:rPr>
        <w:t> </w:t>
      </w:r>
      <w:r>
        <w:rPr/>
        <w:t>services.</w:t>
      </w:r>
    </w:p>
    <w:p>
      <w:pPr>
        <w:pStyle w:val="BodyText"/>
        <w:rPr>
          <w:sz w:val="34"/>
        </w:rPr>
      </w:pPr>
    </w:p>
    <w:p>
      <w:pPr>
        <w:pStyle w:val="Heading2"/>
        <w:ind w:right="1694"/>
      </w:pPr>
      <w:r>
        <w:rPr>
          <w:b w:val="0"/>
        </w:rPr>
        <w:t>Through this process, </w:t>
      </w:r>
      <w:r>
        <w:rPr/>
        <w:t>success stories based on DLTs will be detected and share to a wider audience for SMEs promotion.</w:t>
      </w:r>
    </w:p>
    <w:p>
      <w:pPr>
        <w:pStyle w:val="BodyText"/>
        <w:spacing w:before="9"/>
        <w:rPr>
          <w:b/>
          <w:sz w:val="33"/>
        </w:rPr>
      </w:pPr>
    </w:p>
    <w:p>
      <w:pPr>
        <w:pStyle w:val="BodyText"/>
        <w:ind w:left="1702" w:right="1696"/>
        <w:jc w:val="both"/>
      </w:pPr>
      <w:r>
        <w:rPr/>
        <w:t>Other results expected are the creation of a dialogue and guidance elaboration at regulation level around the DLT to support the work of policy makers, and facilitating the generation of a “smart” regulatory framework for the EU.</w:t>
      </w:r>
    </w:p>
    <w:p>
      <w:pPr>
        <w:spacing w:after="0"/>
        <w:jc w:val="both"/>
        <w:sectPr>
          <w:pgSz w:w="11910" w:h="16840"/>
          <w:pgMar w:header="897" w:footer="2099" w:top="1480" w:bottom="2280" w:left="0" w:right="0"/>
        </w:sectPr>
      </w:pPr>
    </w:p>
    <w:p>
      <w:pPr>
        <w:pStyle w:val="BodyText"/>
        <w:spacing w:before="5"/>
        <w:rPr>
          <w:sz w:val="19"/>
        </w:rPr>
      </w:pPr>
    </w:p>
    <w:p>
      <w:pPr>
        <w:pStyle w:val="Heading2"/>
        <w:spacing w:before="51"/>
        <w:jc w:val="left"/>
      </w:pPr>
      <w:r>
        <w:rPr/>
        <w:t>More information:</w:t>
      </w:r>
    </w:p>
    <w:p>
      <w:pPr>
        <w:pStyle w:val="BodyText"/>
        <w:spacing w:line="288" w:lineRule="auto" w:before="62"/>
        <w:ind w:left="1702" w:right="5179"/>
      </w:pPr>
      <w:r>
        <w:rPr/>
        <w:t>Coordinator: Miguel García </w:t>
      </w:r>
      <w:hyperlink r:id="rId17">
        <w:r>
          <w:rPr>
            <w:color w:val="0000FF"/>
            <w:u w:val="single" w:color="0000FF"/>
          </w:rPr>
          <w:t>mgarcia@zabala.es</w:t>
        </w:r>
      </w:hyperlink>
      <w:r>
        <w:rPr>
          <w:color w:val="0000FF"/>
        </w:rPr>
        <w:t> </w:t>
      </w:r>
      <w:r>
        <w:rPr/>
        <w:t>Press contact: Susana Garayoa </w:t>
      </w:r>
      <w:hyperlink r:id="rId18">
        <w:r>
          <w:rPr>
            <w:color w:val="0000FF"/>
            <w:u w:val="single" w:color="0000FF"/>
          </w:rPr>
          <w:t>sgarayoa@zabala.es</w:t>
        </w:r>
      </w:hyperlink>
    </w:p>
    <w:p>
      <w:pPr>
        <w:pStyle w:val="BodyText"/>
        <w:spacing w:line="288" w:lineRule="auto" w:before="3"/>
        <w:ind w:left="1702" w:right="5007"/>
      </w:pPr>
      <w:r>
        <w:rPr/>
        <w:t>Twitter: </w:t>
      </w:r>
      <w:r>
        <w:rPr>
          <w:color w:val="0000FF"/>
          <w:u w:val="single" w:color="0000FF"/>
        </w:rPr>
        <w:t>https://twitter.com/blockchers</w:t>
      </w:r>
      <w:r>
        <w:rPr>
          <w:color w:val="0000FF"/>
        </w:rPr>
        <w:t> </w:t>
      </w:r>
      <w:r>
        <w:rPr/>
        <w:t>@blockchers </w:t>
      </w:r>
      <w:hyperlink r:id="rId19">
        <w:r>
          <w:rPr>
            <w:color w:val="0000FF"/>
            <w:u w:val="single" w:color="0000FF"/>
          </w:rPr>
          <w:t>www.blokchers.eu</w:t>
        </w:r>
        <w:r>
          <w:rPr>
            <w:color w:val="0000FF"/>
          </w:rPr>
          <w:t> </w:t>
        </w:r>
      </w:hyperlink>
      <w:r>
        <w:rPr/>
        <w:t>(Coming soon)</w:t>
      </w:r>
    </w:p>
    <w:sectPr>
      <w:pgSz w:w="11910" w:h="16840"/>
      <w:pgMar w:header="897" w:footer="2099" w:top="1480" w:bottom="2280" w:left="0" w:right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Calibri">
    <w:altName w:val="Calibri"/>
    <w:charset w:val="0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251496448">
          <wp:simplePos x="0" y="0"/>
          <wp:positionH relativeFrom="page">
            <wp:posOffset>17782</wp:posOffset>
          </wp:positionH>
          <wp:positionV relativeFrom="page">
            <wp:posOffset>10318609</wp:posOffset>
          </wp:positionV>
          <wp:extent cx="7542781" cy="373770"/>
          <wp:effectExtent l="0" t="0" r="0" b="0"/>
          <wp:wrapNone/>
          <wp:docPr id="11" name="image6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2" name="image6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542781" cy="3737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drawing>
        <wp:anchor distT="0" distB="0" distL="0" distR="0" allowOverlap="1" layoutInCell="1" locked="0" behindDoc="1" simplePos="0" relativeHeight="251497472">
          <wp:simplePos x="0" y="0"/>
          <wp:positionH relativeFrom="page">
            <wp:posOffset>1222375</wp:posOffset>
          </wp:positionH>
          <wp:positionV relativeFrom="page">
            <wp:posOffset>9478797</wp:posOffset>
          </wp:positionV>
          <wp:extent cx="228600" cy="152400"/>
          <wp:effectExtent l="0" t="0" r="0" b="0"/>
          <wp:wrapNone/>
          <wp:docPr id="13" name="image3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4" name="image3.jpe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228600" cy="1524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52.619995pt;margin-top:725.969971pt;width:11.15pt;height:16.05pt;mso-position-horizontal-relative:page;mso-position-vertical-relative:page;z-index:-251817984" type="#_x0000_t202" filled="false" stroked="false">
          <v:textbox inset="0,0,0,0">
            <w:txbxContent>
              <w:p>
                <w:pPr>
                  <w:spacing w:line="306" w:lineRule="exact" w:before="0"/>
                  <w:ind w:left="40" w:right="0" w:firstLine="0"/>
                  <w:jc w:val="left"/>
                  <w:rPr>
                    <w:b/>
                    <w:sz w:val="28"/>
                  </w:rPr>
                </w:pPr>
                <w:r>
                  <w:rPr/>
                  <w:fldChar w:fldCharType="begin"/>
                </w:r>
                <w:r>
                  <w:rPr>
                    <w:b/>
                    <w:color w:val="1764C0"/>
                    <w:w w:val="100"/>
                    <w:sz w:val="28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</w:p>
            </w:txbxContent>
          </v:textbox>
          <w10:wrap type="none"/>
        </v:shape>
      </w:pict>
    </w:r>
    <w:r>
      <w:rPr/>
      <w:pict>
        <v:shape style="position:absolute;margin-left:123.699997pt;margin-top:744.385986pt;width:302.75pt;height:19.8pt;mso-position-horizontal-relative:page;mso-position-vertical-relative:page;z-index:-251816960" type="#_x0000_t202" filled="false" stroked="false">
          <v:textbox inset="0,0,0,0">
            <w:txbxContent>
              <w:p>
                <w:pPr>
                  <w:spacing w:line="183" w:lineRule="exact" w:before="0"/>
                  <w:ind w:left="20" w:right="0" w:firstLine="0"/>
                  <w:jc w:val="left"/>
                  <w:rPr>
                    <w:sz w:val="16"/>
                  </w:rPr>
                </w:pPr>
                <w:r>
                  <w:rPr>
                    <w:sz w:val="16"/>
                  </w:rPr>
                  <w:t>This project has received funding from the European Union’s H2020 research and innovation</w:t>
                </w:r>
              </w:p>
              <w:p>
                <w:pPr>
                  <w:spacing w:line="195" w:lineRule="exact" w:before="0"/>
                  <w:ind w:left="20" w:right="0" w:firstLine="0"/>
                  <w:jc w:val="left"/>
                  <w:rPr>
                    <w:sz w:val="16"/>
                  </w:rPr>
                </w:pPr>
                <w:r>
                  <w:rPr>
                    <w:sz w:val="16"/>
                  </w:rPr>
                  <w:t>programme under Grant Agreement no 828840</w:t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rPr>
        <w:sz w:val="20"/>
      </w:rPr>
    </w:pPr>
    <w:r>
      <w:rPr/>
      <w:drawing>
        <wp:anchor distT="0" distB="0" distL="0" distR="0" allowOverlap="1" layoutInCell="1" locked="0" behindDoc="1" simplePos="0" relativeHeight="251495424">
          <wp:simplePos x="0" y="0"/>
          <wp:positionH relativeFrom="page">
            <wp:posOffset>4385945</wp:posOffset>
          </wp:positionH>
          <wp:positionV relativeFrom="page">
            <wp:posOffset>569721</wp:posOffset>
          </wp:positionV>
          <wp:extent cx="2275204" cy="370204"/>
          <wp:effectExtent l="0" t="0" r="0" b="0"/>
          <wp:wrapNone/>
          <wp:docPr id="9" name="image5.pn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10" name="image5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75204" cy="37020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Calibri" w:hAnsi="Calibri" w:eastAsia="Calibri" w:cs="Calibri"/>
      <w:lang w:val="en-US" w:eastAsia="en-US" w:bidi="en-US"/>
    </w:rPr>
  </w:style>
  <w:style w:styleId="BodyText" w:type="paragraph">
    <w:name w:val="Body Text"/>
    <w:basedOn w:val="Normal"/>
    <w:uiPriority w:val="1"/>
    <w:qFormat/>
    <w:pPr/>
    <w:rPr>
      <w:rFonts w:ascii="Calibri" w:hAnsi="Calibri" w:eastAsia="Calibri" w:cs="Calibri"/>
      <w:sz w:val="24"/>
      <w:szCs w:val="24"/>
      <w:lang w:val="en-US" w:eastAsia="en-US" w:bidi="en-US"/>
    </w:rPr>
  </w:style>
  <w:style w:styleId="Heading1" w:type="paragraph">
    <w:name w:val="Heading 1"/>
    <w:basedOn w:val="Normal"/>
    <w:uiPriority w:val="1"/>
    <w:qFormat/>
    <w:pPr>
      <w:spacing w:before="96"/>
      <w:ind w:left="1394" w:right="1603"/>
      <w:jc w:val="center"/>
      <w:outlineLvl w:val="1"/>
    </w:pPr>
    <w:rPr>
      <w:rFonts w:ascii="Calibri" w:hAnsi="Calibri" w:eastAsia="Calibri" w:cs="Calibri"/>
      <w:sz w:val="36"/>
      <w:szCs w:val="36"/>
      <w:lang w:val="en-US" w:eastAsia="en-US" w:bidi="en-US"/>
    </w:rPr>
  </w:style>
  <w:style w:styleId="Heading2" w:type="paragraph">
    <w:name w:val="Heading 2"/>
    <w:basedOn w:val="Normal"/>
    <w:uiPriority w:val="1"/>
    <w:qFormat/>
    <w:pPr>
      <w:ind w:left="1702"/>
      <w:jc w:val="both"/>
      <w:outlineLvl w:val="2"/>
    </w:pPr>
    <w:rPr>
      <w:rFonts w:ascii="Calibri" w:hAnsi="Calibri" w:eastAsia="Calibri" w:cs="Calibri"/>
      <w:b/>
      <w:bCs/>
      <w:sz w:val="24"/>
      <w:szCs w:val="24"/>
      <w:lang w:val="en-US" w:eastAsia="en-US" w:bidi="en-US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en-US"/>
    </w:rPr>
  </w:style>
  <w:style w:styleId="TableParagraph" w:type="paragraph">
    <w:name w:val="Table Paragraph"/>
    <w:basedOn w:val="Normal"/>
    <w:uiPriority w:val="1"/>
    <w:qFormat/>
    <w:pPr/>
    <w:rPr>
      <w:lang w:val="en-US" w:eastAsia="en-US" w:bidi="en-US"/>
    </w:rPr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jpeg"/><Relationship Id="rId8" Type="http://schemas.openxmlformats.org/officeDocument/2006/relationships/image" Target="media/image4.png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hyperlink" Target="https://www.zabala.eu/en" TargetMode="External"/><Relationship Id="rId12" Type="http://schemas.openxmlformats.org/officeDocument/2006/relationships/hyperlink" Target="https://edincubator.eu/" TargetMode="External"/><Relationship Id="rId13" Type="http://schemas.openxmlformats.org/officeDocument/2006/relationships/hyperlink" Target="https://irsus.eu/" TargetMode="External"/><Relationship Id="rId14" Type="http://schemas.openxmlformats.org/officeDocument/2006/relationships/hyperlink" Target="http://innomine.com/en" TargetMode="External"/><Relationship Id="rId15" Type="http://schemas.openxmlformats.org/officeDocument/2006/relationships/hyperlink" Target="https://www.frankfurt-school.de/home" TargetMode="External"/><Relationship Id="rId16" Type="http://schemas.openxmlformats.org/officeDocument/2006/relationships/hyperlink" Target="https://alastria.io/#1" TargetMode="External"/><Relationship Id="rId17" Type="http://schemas.openxmlformats.org/officeDocument/2006/relationships/hyperlink" Target="mailto:mgarcia@zabala.es" TargetMode="External"/><Relationship Id="rId18" Type="http://schemas.openxmlformats.org/officeDocument/2006/relationships/hyperlink" Target="mailto:sgarayoa@zabala.es" TargetMode="External"/><Relationship Id="rId19" Type="http://schemas.openxmlformats.org/officeDocument/2006/relationships/hyperlink" Target="http://www.blokchers.eu/" TargetMode="External"/></Relationships>
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Relationship Id="rId2" Type="http://schemas.openxmlformats.org/officeDocument/2006/relationships/image" Target="media/image3.jpeg"/></Relationships>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2019-03-25T15:19:24Z</dcterms:created>
  <dcterms:modified xsi:type="dcterms:W3CDTF">2019-03-25T15:19:24Z</dcterms:modified>
</cp:coreProperties>
</file>